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F9" w:rsidRDefault="00860159" w:rsidP="00F70AF9">
      <w:pPr>
        <w:jc w:val="right"/>
      </w:pPr>
      <w:r>
        <w:t>3</w:t>
      </w:r>
      <w:bookmarkStart w:id="0" w:name="_GoBack"/>
      <w:bookmarkEnd w:id="0"/>
      <w:r w:rsidR="00F70AF9">
        <w:t xml:space="preserve">.pielikums.  </w:t>
      </w:r>
    </w:p>
    <w:p w:rsidR="00923FFA" w:rsidRPr="00F70AF9" w:rsidRDefault="00F70AF9" w:rsidP="00F70AF9">
      <w:pPr>
        <w:jc w:val="right"/>
        <w:rPr>
          <w:sz w:val="20"/>
          <w:szCs w:val="20"/>
        </w:rPr>
      </w:pPr>
      <w:r w:rsidRPr="00F70AF9">
        <w:rPr>
          <w:sz w:val="20"/>
          <w:szCs w:val="20"/>
        </w:rPr>
        <w:t>Kultūrvēsturiskie ainavas elementi Augstrozes dabas liegumā un tā ciešā tuvumā laikposmā no 19. gs. sākuma (Rikera 1837. gada kartes dati) līdz 20. gs. sākumam (Latvijas Armijas topogrāfiskās kartes M 1: 75 000 dati). Papildus ir iekļauta informācija no VKPAI materiāliem (par senvietām</w:t>
      </w:r>
    </w:p>
    <w:p w:rsidR="00F70AF9" w:rsidRDefault="00F70AF9" w:rsidP="00F70AF9">
      <w:pPr>
        <w:jc w:val="center"/>
      </w:pPr>
      <w:r w:rsidRPr="00CA6C9F">
        <w:rPr>
          <w:noProof/>
          <w:lang w:eastAsia="lv-LV"/>
        </w:rPr>
        <w:drawing>
          <wp:inline distT="0" distB="0" distL="0" distR="0" wp14:anchorId="6EE2662F" wp14:editId="7E7718AC">
            <wp:extent cx="5305425" cy="8757586"/>
            <wp:effectExtent l="0" t="0" r="0" b="5715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55" cy="876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AF9" w:rsidSect="00F70A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F9"/>
    <w:rsid w:val="00860159"/>
    <w:rsid w:val="00923FFA"/>
    <w:rsid w:val="00F7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Ikauniece</dc:creator>
  <cp:lastModifiedBy>Sandra Ikauniece</cp:lastModifiedBy>
  <cp:revision>2</cp:revision>
  <dcterms:created xsi:type="dcterms:W3CDTF">2018-02-13T11:40:00Z</dcterms:created>
  <dcterms:modified xsi:type="dcterms:W3CDTF">2018-03-10T08:48:00Z</dcterms:modified>
</cp:coreProperties>
</file>